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555E" w14:textId="77777777" w:rsidR="00023182" w:rsidRPr="00B75809" w:rsidRDefault="00023182" w:rsidP="00023182">
      <w:pPr>
        <w:keepNext/>
        <w:tabs>
          <w:tab w:val="right" w:pos="9070"/>
        </w:tabs>
        <w:outlineLvl w:val="0"/>
        <w:rPr>
          <w:rFonts w:cs="Arial"/>
        </w:rPr>
      </w:pPr>
      <w:r>
        <w:rPr>
          <w:rFonts w:cs="Arial"/>
          <w:b/>
          <w:bCs/>
          <w:sz w:val="16"/>
        </w:rPr>
        <w:t>D</w:t>
      </w:r>
      <w:r w:rsidRPr="00B75809">
        <w:rPr>
          <w:rFonts w:cs="Arial"/>
          <w:b/>
          <w:bCs/>
          <w:sz w:val="16"/>
        </w:rPr>
        <w:t>épartement Administration et Gestion communales</w:t>
      </w:r>
      <w:r w:rsidRPr="00B75809">
        <w:rPr>
          <w:rFonts w:cs="Arial"/>
          <w:b/>
          <w:bCs/>
          <w:sz w:val="16"/>
        </w:rPr>
        <w:tab/>
      </w:r>
      <w:r w:rsidRPr="00B75809">
        <w:rPr>
          <w:rFonts w:cs="Arial"/>
        </w:rPr>
        <w:t xml:space="preserve">Paris, le </w:t>
      </w:r>
      <w:r>
        <w:rPr>
          <w:rFonts w:cs="Arial"/>
        </w:rPr>
        <w:t>7 mai 2020</w:t>
      </w:r>
    </w:p>
    <w:p w14:paraId="0B90BABD" w14:textId="77777777" w:rsidR="00023182" w:rsidRPr="00E369A3" w:rsidRDefault="00023182" w:rsidP="00023182">
      <w:pPr>
        <w:rPr>
          <w:rFonts w:cs="Arial"/>
          <w:bCs/>
          <w:sz w:val="16"/>
          <w:lang w:val="en-GB"/>
        </w:rPr>
      </w:pPr>
      <w:r w:rsidRPr="00E369A3">
        <w:rPr>
          <w:rFonts w:cs="Arial"/>
          <w:bCs/>
          <w:sz w:val="16"/>
          <w:lang w:val="en-GB"/>
        </w:rPr>
        <w:t xml:space="preserve">JM/CG - Note n° </w:t>
      </w:r>
      <w:r>
        <w:rPr>
          <w:rFonts w:cs="Arial"/>
          <w:bCs/>
          <w:sz w:val="16"/>
          <w:lang w:val="en-GB"/>
        </w:rPr>
        <w:t>25</w:t>
      </w:r>
    </w:p>
    <w:p w14:paraId="4A589D7E" w14:textId="77777777" w:rsidR="00023182" w:rsidRPr="00B75809" w:rsidRDefault="00023182" w:rsidP="00023182">
      <w:pPr>
        <w:rPr>
          <w:rFonts w:cs="Arial"/>
          <w:bCs/>
          <w:sz w:val="16"/>
        </w:rPr>
      </w:pPr>
      <w:r w:rsidRPr="00B75809">
        <w:rPr>
          <w:rFonts w:cs="Arial"/>
          <w:bCs/>
          <w:sz w:val="16"/>
        </w:rPr>
        <w:t xml:space="preserve">Dossier suivi par </w:t>
      </w:r>
      <w:r>
        <w:rPr>
          <w:rFonts w:cs="Arial"/>
          <w:bCs/>
          <w:sz w:val="16"/>
        </w:rPr>
        <w:t>Judith MWENDO</w:t>
      </w:r>
    </w:p>
    <w:p w14:paraId="449ECF24" w14:textId="77777777" w:rsidR="00023182" w:rsidRPr="006F009C" w:rsidRDefault="00023182" w:rsidP="00023182">
      <w:pPr>
        <w:rPr>
          <w:rFonts w:eastAsia="Calibri"/>
        </w:rPr>
      </w:pPr>
    </w:p>
    <w:p w14:paraId="1B7D6A80" w14:textId="77777777" w:rsidR="00023182" w:rsidRPr="00450943" w:rsidRDefault="00023182" w:rsidP="00023182">
      <w:pPr>
        <w:shd w:val="clear" w:color="auto" w:fill="0055A0"/>
        <w:autoSpaceDE w:val="0"/>
        <w:autoSpaceDN w:val="0"/>
        <w:adjustRightInd w:val="0"/>
        <w:jc w:val="center"/>
        <w:outlineLvl w:val="0"/>
        <w:rPr>
          <w:rFonts w:eastAsia="Calibri" w:cs="Arial"/>
          <w:bCs/>
          <w:iCs/>
          <w:color w:val="FFFFFF"/>
          <w:sz w:val="16"/>
          <w:szCs w:val="16"/>
        </w:rPr>
      </w:pPr>
    </w:p>
    <w:p w14:paraId="356B82D9" w14:textId="77777777" w:rsidR="00346250" w:rsidRDefault="00863490" w:rsidP="00023182">
      <w:pPr>
        <w:shd w:val="clear" w:color="auto" w:fill="0055A0"/>
        <w:autoSpaceDE w:val="0"/>
        <w:autoSpaceDN w:val="0"/>
        <w:adjustRightInd w:val="0"/>
        <w:jc w:val="center"/>
        <w:outlineLvl w:val="0"/>
        <w:rPr>
          <w:rFonts w:eastAsia="Calibri" w:cs="Arial"/>
          <w:b/>
          <w:bCs/>
          <w:iCs/>
          <w:color w:val="FFFFFF"/>
          <w:sz w:val="28"/>
          <w:szCs w:val="26"/>
        </w:rPr>
      </w:pPr>
      <w:r w:rsidRPr="00023182">
        <w:rPr>
          <w:rFonts w:eastAsia="Calibri" w:cs="Arial"/>
          <w:b/>
          <w:bCs/>
          <w:iCs/>
          <w:color w:val="FFFFFF"/>
          <w:sz w:val="28"/>
          <w:szCs w:val="26"/>
        </w:rPr>
        <w:t>Etat d’urgence sanitaire</w:t>
      </w:r>
      <w:r w:rsidR="00023182" w:rsidRPr="00023182">
        <w:rPr>
          <w:rFonts w:eastAsia="Calibri" w:cs="Arial"/>
          <w:b/>
          <w:bCs/>
          <w:iCs/>
          <w:color w:val="FFFFFF"/>
          <w:sz w:val="28"/>
          <w:szCs w:val="26"/>
        </w:rPr>
        <w:t> :</w:t>
      </w:r>
      <w:r w:rsidRPr="00023182">
        <w:rPr>
          <w:rFonts w:eastAsia="Calibri" w:cs="Arial"/>
          <w:b/>
          <w:bCs/>
          <w:iCs/>
          <w:color w:val="FFFFFF"/>
          <w:sz w:val="28"/>
          <w:szCs w:val="26"/>
        </w:rPr>
        <w:t xml:space="preserve"> </w:t>
      </w:r>
      <w:r w:rsidR="00346250">
        <w:rPr>
          <w:rFonts w:eastAsia="Calibri" w:cs="Arial"/>
          <w:b/>
          <w:bCs/>
          <w:iCs/>
          <w:color w:val="FFFFFF"/>
          <w:sz w:val="28"/>
          <w:szCs w:val="26"/>
        </w:rPr>
        <w:t>adaptation des règles relatives</w:t>
      </w:r>
    </w:p>
    <w:p w14:paraId="78878A35" w14:textId="77777777" w:rsidR="00FB6FEB" w:rsidRPr="00023182" w:rsidRDefault="00863490" w:rsidP="00023182">
      <w:pPr>
        <w:shd w:val="clear" w:color="auto" w:fill="0055A0"/>
        <w:autoSpaceDE w:val="0"/>
        <w:autoSpaceDN w:val="0"/>
        <w:adjustRightInd w:val="0"/>
        <w:jc w:val="center"/>
        <w:outlineLvl w:val="0"/>
        <w:rPr>
          <w:rFonts w:eastAsia="Calibri" w:cs="Arial"/>
          <w:b/>
          <w:bCs/>
          <w:iCs/>
          <w:color w:val="FFFFFF"/>
          <w:sz w:val="28"/>
          <w:szCs w:val="26"/>
        </w:rPr>
      </w:pPr>
      <w:proofErr w:type="gramStart"/>
      <w:r w:rsidRPr="00023182">
        <w:rPr>
          <w:rFonts w:eastAsia="Calibri" w:cs="Arial"/>
          <w:b/>
          <w:bCs/>
          <w:iCs/>
          <w:color w:val="FFFFFF"/>
          <w:sz w:val="28"/>
          <w:szCs w:val="26"/>
        </w:rPr>
        <w:t>au</w:t>
      </w:r>
      <w:proofErr w:type="gramEnd"/>
      <w:r w:rsidRPr="00023182">
        <w:rPr>
          <w:rFonts w:eastAsia="Calibri" w:cs="Arial"/>
          <w:b/>
          <w:bCs/>
          <w:iCs/>
          <w:color w:val="FFFFFF"/>
          <w:sz w:val="28"/>
          <w:szCs w:val="26"/>
        </w:rPr>
        <w:t xml:space="preserve"> financement e</w:t>
      </w:r>
      <w:r w:rsidR="006863AD">
        <w:rPr>
          <w:rFonts w:eastAsia="Calibri" w:cs="Arial"/>
          <w:b/>
          <w:bCs/>
          <w:iCs/>
          <w:color w:val="FFFFFF"/>
          <w:sz w:val="28"/>
          <w:szCs w:val="26"/>
        </w:rPr>
        <w:t>t au plafonnement des dépenses électorales</w:t>
      </w:r>
    </w:p>
    <w:p w14:paraId="02CE091F" w14:textId="77777777" w:rsidR="00023182" w:rsidRPr="00450943" w:rsidRDefault="00023182" w:rsidP="00023182">
      <w:pPr>
        <w:shd w:val="clear" w:color="auto" w:fill="0055A0"/>
        <w:autoSpaceDE w:val="0"/>
        <w:autoSpaceDN w:val="0"/>
        <w:adjustRightInd w:val="0"/>
        <w:jc w:val="center"/>
        <w:outlineLvl w:val="0"/>
        <w:rPr>
          <w:rFonts w:eastAsia="Calibri" w:cs="Arial"/>
          <w:bCs/>
          <w:iCs/>
          <w:color w:val="FFFFFF"/>
          <w:sz w:val="16"/>
          <w:szCs w:val="16"/>
        </w:rPr>
      </w:pPr>
    </w:p>
    <w:p w14:paraId="35409319" w14:textId="77777777" w:rsidR="00FB6FEB" w:rsidRPr="00FB6FEB" w:rsidRDefault="00FB6FEB" w:rsidP="00FB6FEB">
      <w:pPr>
        <w:rPr>
          <w:rFonts w:cs="Arial"/>
        </w:rPr>
      </w:pPr>
    </w:p>
    <w:p w14:paraId="0957FFB4" w14:textId="77777777" w:rsidR="00FB6FEB" w:rsidRPr="00FB6FEB" w:rsidRDefault="00FB6FEB" w:rsidP="00FB6FEB">
      <w:pPr>
        <w:rPr>
          <w:rFonts w:cs="Arial"/>
        </w:rPr>
      </w:pPr>
    </w:p>
    <w:p w14:paraId="0FF949CD" w14:textId="77777777" w:rsidR="00FB6FEB" w:rsidRPr="00FB6FEB" w:rsidRDefault="00FB6FEB" w:rsidP="00215C5C">
      <w:pPr>
        <w:rPr>
          <w:rFonts w:cs="Arial"/>
        </w:rPr>
      </w:pPr>
      <w:r w:rsidRPr="00B44870">
        <w:rPr>
          <w:rFonts w:cs="Arial"/>
          <w:b/>
        </w:rPr>
        <w:t>Dans toutes les communes</w:t>
      </w:r>
      <w:r w:rsidR="003D1A2E" w:rsidRPr="00B44870">
        <w:rPr>
          <w:rFonts w:cs="Arial"/>
          <w:b/>
        </w:rPr>
        <w:t xml:space="preserve"> où un second tour est nécessaire</w:t>
      </w:r>
      <w:r w:rsidRPr="00FB6FEB">
        <w:rPr>
          <w:rFonts w:cs="Arial"/>
        </w:rPr>
        <w:t>, l’interdiction de financement de la campagne électorale par une personne morale (à l’exception des partis et groupements politiques) et toutes les interdictions prévues à l’article L. 52-8 du code électoral restent applicables jusqu’au second tour.</w:t>
      </w:r>
    </w:p>
    <w:p w14:paraId="6990F3CB" w14:textId="77777777" w:rsidR="00FB6FEB" w:rsidRPr="00FB6FEB" w:rsidRDefault="00FB6FEB" w:rsidP="00215C5C">
      <w:pPr>
        <w:rPr>
          <w:rFonts w:cs="Arial"/>
        </w:rPr>
      </w:pPr>
    </w:p>
    <w:p w14:paraId="78E5A708" w14:textId="77777777" w:rsidR="00FB6FEB" w:rsidRPr="00FB6FEB" w:rsidRDefault="00FB6FEB" w:rsidP="00215C5C">
      <w:pPr>
        <w:rPr>
          <w:rFonts w:cs="Arial"/>
        </w:rPr>
      </w:pPr>
      <w:r w:rsidRPr="00FB6FEB">
        <w:rPr>
          <w:rFonts w:cs="Arial"/>
          <w:b/>
        </w:rPr>
        <w:t>Dans les communes de 1</w:t>
      </w:r>
      <w:r w:rsidR="00023182">
        <w:rPr>
          <w:rFonts w:cs="Arial"/>
          <w:b/>
        </w:rPr>
        <w:t> 000</w:t>
      </w:r>
      <w:r w:rsidRPr="00FB6FEB">
        <w:rPr>
          <w:rFonts w:cs="Arial"/>
          <w:b/>
        </w:rPr>
        <w:t xml:space="preserve"> habitants et plus et dans les circonscriptions de la métropole de Lyon</w:t>
      </w:r>
      <w:r w:rsidRPr="00FB6FEB">
        <w:rPr>
          <w:rFonts w:cs="Arial"/>
        </w:rPr>
        <w:t>, le 7° du XII de l’article 19 de la loi du 23 mars 2020 prévoit que sont remboursés aux candidats tête de liste ayant obtenu au moins 10</w:t>
      </w:r>
      <w:r w:rsidR="00346250">
        <w:rPr>
          <w:rFonts w:cs="Arial"/>
        </w:rPr>
        <w:t> </w:t>
      </w:r>
      <w:r w:rsidRPr="00FB6FEB">
        <w:rPr>
          <w:rFonts w:cs="Arial"/>
        </w:rPr>
        <w:t>% des suffrages exprimés au prem</w:t>
      </w:r>
      <w:r w:rsidR="003D1A2E">
        <w:rPr>
          <w:rFonts w:cs="Arial"/>
        </w:rPr>
        <w:t>ier tour les coûts d’impression et d’affichage</w:t>
      </w:r>
      <w:r w:rsidRPr="00FB6FEB">
        <w:rPr>
          <w:rFonts w:cs="Arial"/>
        </w:rPr>
        <w:t xml:space="preserve"> des circulaires, bulletins de vote et affiches d</w:t>
      </w:r>
      <w:r w:rsidR="003D1A2E">
        <w:rPr>
          <w:rFonts w:cs="Arial"/>
        </w:rPr>
        <w:t>e propagande électorale imprimé</w:t>
      </w:r>
      <w:r w:rsidRPr="00FB6FEB">
        <w:rPr>
          <w:rFonts w:cs="Arial"/>
        </w:rPr>
        <w:t>s en vue du second tour initialement prévu le 22 mars.</w:t>
      </w:r>
    </w:p>
    <w:p w14:paraId="1D45DA84" w14:textId="77777777" w:rsidR="00FB6FEB" w:rsidRPr="00FB6FEB" w:rsidRDefault="00FB6FEB" w:rsidP="00215C5C">
      <w:pPr>
        <w:rPr>
          <w:rFonts w:cs="Arial"/>
        </w:rPr>
      </w:pPr>
    </w:p>
    <w:p w14:paraId="1BDCB021" w14:textId="77777777" w:rsidR="00FB6FEB" w:rsidRPr="00FB6FEB" w:rsidRDefault="00FB6FEB" w:rsidP="00215C5C">
      <w:pPr>
        <w:rPr>
          <w:rFonts w:cs="Arial"/>
        </w:rPr>
      </w:pPr>
      <w:r w:rsidRPr="00FB6FEB">
        <w:rPr>
          <w:rFonts w:cs="Arial"/>
        </w:rPr>
        <w:t>Ainsi, les listes qui ont obtenu au moins 10</w:t>
      </w:r>
      <w:r w:rsidR="00346250">
        <w:rPr>
          <w:rFonts w:cs="Arial"/>
        </w:rPr>
        <w:t> </w:t>
      </w:r>
      <w:r w:rsidRPr="00FB6FEB">
        <w:rPr>
          <w:rFonts w:cs="Arial"/>
        </w:rPr>
        <w:t>% des suffrages exprimés au premier tour, qui avaient imprimé des documents de propagande en vue du dimanche 22 mars mais qui décident finalement</w:t>
      </w:r>
      <w:r>
        <w:rPr>
          <w:rFonts w:cs="Arial"/>
        </w:rPr>
        <w:t xml:space="preserve"> </w:t>
      </w:r>
      <w:r w:rsidRPr="00FB6FEB">
        <w:rPr>
          <w:rFonts w:cs="Arial"/>
        </w:rPr>
        <w:t>de ne pas se présenter au second tour, ou qui sont absorbées par une autre liste, peuvent bénéficier du remboursement de leur</w:t>
      </w:r>
      <w:r w:rsidR="003D1A2E">
        <w:rPr>
          <w:rFonts w:cs="Arial"/>
        </w:rPr>
        <w:t>s documents de</w:t>
      </w:r>
      <w:r w:rsidRPr="00FB6FEB">
        <w:rPr>
          <w:rFonts w:cs="Arial"/>
        </w:rPr>
        <w:t xml:space="preserve"> propagande électorale.</w:t>
      </w:r>
    </w:p>
    <w:p w14:paraId="7C5DA1F9" w14:textId="77777777" w:rsidR="00FB6FEB" w:rsidRPr="00FB6FEB" w:rsidRDefault="00FB6FEB" w:rsidP="00215C5C">
      <w:pPr>
        <w:rPr>
          <w:rFonts w:cs="Arial"/>
        </w:rPr>
      </w:pPr>
    </w:p>
    <w:p w14:paraId="2F1BD24E" w14:textId="77777777" w:rsidR="00FB6FEB" w:rsidRPr="00FB6FEB" w:rsidRDefault="00FB6FEB" w:rsidP="00215C5C">
      <w:pPr>
        <w:rPr>
          <w:rFonts w:cs="Arial"/>
        </w:rPr>
      </w:pPr>
      <w:r w:rsidRPr="00FB6FEB">
        <w:rPr>
          <w:rFonts w:cs="Arial"/>
        </w:rPr>
        <w:t xml:space="preserve">Pour les listes se présentant au second tour, un décret en Conseil d’Etat précisera </w:t>
      </w:r>
      <w:r w:rsidR="003D1A2E">
        <w:rPr>
          <w:rFonts w:cs="Arial"/>
        </w:rPr>
        <w:t xml:space="preserve">ultérieurement </w:t>
      </w:r>
      <w:r w:rsidRPr="00FB6FEB">
        <w:rPr>
          <w:rFonts w:cs="Arial"/>
        </w:rPr>
        <w:t>les conditions dans lesquelles ce remboursement interviendra.</w:t>
      </w:r>
    </w:p>
    <w:p w14:paraId="595FD61F" w14:textId="77777777" w:rsidR="00FB6FEB" w:rsidRPr="00FB6FEB" w:rsidRDefault="00FB6FEB" w:rsidP="00215C5C">
      <w:pPr>
        <w:rPr>
          <w:rFonts w:cs="Arial"/>
        </w:rPr>
      </w:pPr>
    </w:p>
    <w:p w14:paraId="4CA650A8" w14:textId="77777777" w:rsidR="00FB6FEB" w:rsidRDefault="00B44870" w:rsidP="00215C5C">
      <w:pPr>
        <w:rPr>
          <w:rFonts w:cs="Arial"/>
          <w:b/>
        </w:rPr>
      </w:pPr>
      <w:r>
        <w:rPr>
          <w:rFonts w:cs="Arial"/>
          <w:b/>
        </w:rPr>
        <w:t>Pour le cas spécifique d</w:t>
      </w:r>
      <w:r w:rsidR="00FB6FEB" w:rsidRPr="00FB6FEB">
        <w:rPr>
          <w:rFonts w:cs="Arial"/>
          <w:b/>
        </w:rPr>
        <w:t>es communes de 9</w:t>
      </w:r>
      <w:r w:rsidR="00023182">
        <w:rPr>
          <w:rFonts w:cs="Arial"/>
          <w:b/>
        </w:rPr>
        <w:t> 000</w:t>
      </w:r>
      <w:r w:rsidR="00FB6FEB" w:rsidRPr="00FB6FEB">
        <w:rPr>
          <w:rFonts w:cs="Arial"/>
          <w:b/>
        </w:rPr>
        <w:t xml:space="preserve"> habitants et plus</w:t>
      </w:r>
      <w:r>
        <w:rPr>
          <w:rFonts w:cs="Arial"/>
          <w:b/>
        </w:rPr>
        <w:t xml:space="preserve"> (circonscriptions de la métropole de Lyon comprises)</w:t>
      </w:r>
      <w:r w:rsidR="00023182">
        <w:rPr>
          <w:rFonts w:cs="Arial"/>
          <w:b/>
        </w:rPr>
        <w:t> :</w:t>
      </w:r>
    </w:p>
    <w:p w14:paraId="23711E5D" w14:textId="77777777" w:rsidR="00494162" w:rsidRPr="00494162" w:rsidRDefault="00494162" w:rsidP="00215C5C">
      <w:pPr>
        <w:rPr>
          <w:rFonts w:cs="Arial"/>
        </w:rPr>
      </w:pPr>
    </w:p>
    <w:p w14:paraId="45A6ADC0" w14:textId="77777777" w:rsidR="00FB6FEB" w:rsidRPr="00494162" w:rsidRDefault="00FB6FEB" w:rsidP="00494162">
      <w:pPr>
        <w:pStyle w:val="Paragraphedeliste"/>
        <w:numPr>
          <w:ilvl w:val="0"/>
          <w:numId w:val="3"/>
        </w:numPr>
        <w:rPr>
          <w:rFonts w:cs="Arial"/>
        </w:rPr>
      </w:pPr>
      <w:proofErr w:type="gramStart"/>
      <w:r w:rsidRPr="00494162">
        <w:rPr>
          <w:rFonts w:cs="Arial"/>
        </w:rPr>
        <w:t>la</w:t>
      </w:r>
      <w:proofErr w:type="gramEnd"/>
      <w:r w:rsidRPr="00494162">
        <w:rPr>
          <w:rFonts w:cs="Arial"/>
        </w:rPr>
        <w:t xml:space="preserve"> période de recueil des fonds et de règlement des dépenses par un mandataire financier (art. L. 52-4 du code électoral)</w:t>
      </w:r>
      <w:r w:rsidR="003D1A2E">
        <w:rPr>
          <w:rFonts w:cs="Arial"/>
        </w:rPr>
        <w:t xml:space="preserve"> qui a été </w:t>
      </w:r>
      <w:r w:rsidRPr="00494162">
        <w:rPr>
          <w:rFonts w:cs="Arial"/>
        </w:rPr>
        <w:t>ouverte au 1</w:t>
      </w:r>
      <w:r w:rsidRPr="00494162">
        <w:rPr>
          <w:rFonts w:cs="Arial"/>
          <w:vertAlign w:val="superscript"/>
        </w:rPr>
        <w:t>er</w:t>
      </w:r>
      <w:r w:rsidR="00494162">
        <w:rPr>
          <w:rFonts w:cs="Arial"/>
        </w:rPr>
        <w:t xml:space="preserve"> </w:t>
      </w:r>
      <w:r w:rsidR="003D1A2E">
        <w:rPr>
          <w:rFonts w:cs="Arial"/>
        </w:rPr>
        <w:t>septembre 2019</w:t>
      </w:r>
      <w:r w:rsidRPr="00494162">
        <w:rPr>
          <w:rFonts w:cs="Arial"/>
        </w:rPr>
        <w:t xml:space="preserve"> est prolongée jusqu’à la date du second tour</w:t>
      </w:r>
      <w:r w:rsidR="00023182" w:rsidRPr="00494162">
        <w:rPr>
          <w:rFonts w:cs="Arial"/>
        </w:rPr>
        <w:t> ;</w:t>
      </w:r>
    </w:p>
    <w:p w14:paraId="26648208" w14:textId="77777777" w:rsidR="00FB6FEB" w:rsidRPr="00FB6FEB" w:rsidRDefault="00FB6FEB" w:rsidP="00215C5C">
      <w:pPr>
        <w:rPr>
          <w:rFonts w:cs="Arial"/>
        </w:rPr>
      </w:pPr>
    </w:p>
    <w:p w14:paraId="78DD3A3B" w14:textId="77777777" w:rsidR="00FB6FEB" w:rsidRPr="00FB6FEB" w:rsidRDefault="00FB6FEB" w:rsidP="00494162">
      <w:pPr>
        <w:pStyle w:val="Paragraphedeliste"/>
        <w:numPr>
          <w:ilvl w:val="0"/>
          <w:numId w:val="3"/>
        </w:numPr>
        <w:rPr>
          <w:rFonts w:cs="Arial"/>
        </w:rPr>
      </w:pPr>
      <w:proofErr w:type="gramStart"/>
      <w:r w:rsidRPr="00FB6FEB">
        <w:rPr>
          <w:rFonts w:cs="Arial"/>
        </w:rPr>
        <w:t>le</w:t>
      </w:r>
      <w:proofErr w:type="gramEnd"/>
      <w:r w:rsidRPr="00FB6FEB">
        <w:rPr>
          <w:rFonts w:cs="Arial"/>
        </w:rPr>
        <w:t xml:space="preserve"> dépôt des comptes de campagne à la Commission nationale des comptes de campagne et des financements politiques, prévu à l’article</w:t>
      </w:r>
      <w:r w:rsidR="003D1A2E">
        <w:rPr>
          <w:rFonts w:cs="Arial"/>
        </w:rPr>
        <w:t xml:space="preserve"> L. 52-12 du code électoral, a été</w:t>
      </w:r>
      <w:r w:rsidRPr="00FB6FEB">
        <w:rPr>
          <w:rFonts w:cs="Arial"/>
        </w:rPr>
        <w:t xml:space="preserve"> reporté</w:t>
      </w:r>
      <w:r w:rsidR="003D1A2E">
        <w:rPr>
          <w:rFonts w:cs="Arial"/>
        </w:rPr>
        <w:t xml:space="preserve"> (mais dans l’hypothèse d’un second tour avant l’été)</w:t>
      </w:r>
      <w:r w:rsidR="00023182">
        <w:rPr>
          <w:rFonts w:cs="Arial"/>
        </w:rPr>
        <w:t> :</w:t>
      </w:r>
    </w:p>
    <w:p w14:paraId="5A0FD4A8" w14:textId="77777777" w:rsidR="00FB6FEB" w:rsidRPr="00FB6FEB" w:rsidRDefault="00FB6FEB" w:rsidP="00215C5C">
      <w:pPr>
        <w:pStyle w:val="Paragraphedeliste"/>
        <w:numPr>
          <w:ilvl w:val="0"/>
          <w:numId w:val="1"/>
        </w:numPr>
        <w:rPr>
          <w:rFonts w:cs="Arial"/>
        </w:rPr>
      </w:pPr>
      <w:proofErr w:type="gramStart"/>
      <w:r w:rsidRPr="00FB6FEB">
        <w:rPr>
          <w:rFonts w:cs="Arial"/>
        </w:rPr>
        <w:t>au</w:t>
      </w:r>
      <w:proofErr w:type="gramEnd"/>
      <w:r w:rsidRPr="00FB6FEB">
        <w:rPr>
          <w:rFonts w:cs="Arial"/>
        </w:rPr>
        <w:t xml:space="preserve"> 10 juillet</w:t>
      </w:r>
      <w:r w:rsidR="003D1A2E">
        <w:rPr>
          <w:rFonts w:cs="Arial"/>
        </w:rPr>
        <w:t xml:space="preserve"> 2020</w:t>
      </w:r>
      <w:r w:rsidRPr="00FB6FEB">
        <w:rPr>
          <w:rFonts w:cs="Arial"/>
        </w:rPr>
        <w:t>, 18 heures, pour les listes qui ne sont pas présentes au second tour</w:t>
      </w:r>
      <w:r w:rsidR="00023182">
        <w:rPr>
          <w:rFonts w:cs="Arial"/>
        </w:rPr>
        <w:t> ;</w:t>
      </w:r>
    </w:p>
    <w:p w14:paraId="2C5E082D" w14:textId="77777777" w:rsidR="00FB6FEB" w:rsidRDefault="00FB6FEB" w:rsidP="003D1A2E">
      <w:pPr>
        <w:pStyle w:val="Paragraphedeliste"/>
        <w:numPr>
          <w:ilvl w:val="0"/>
          <w:numId w:val="1"/>
        </w:numPr>
        <w:rPr>
          <w:rFonts w:cs="Arial"/>
        </w:rPr>
      </w:pPr>
      <w:proofErr w:type="gramStart"/>
      <w:r w:rsidRPr="003D1A2E">
        <w:rPr>
          <w:rFonts w:cs="Arial"/>
        </w:rPr>
        <w:t>au</w:t>
      </w:r>
      <w:proofErr w:type="gramEnd"/>
      <w:r w:rsidRPr="003D1A2E">
        <w:rPr>
          <w:rFonts w:cs="Arial"/>
        </w:rPr>
        <w:t xml:space="preserve"> 11 septembre</w:t>
      </w:r>
      <w:r w:rsidR="003D1A2E" w:rsidRPr="003D1A2E">
        <w:rPr>
          <w:rFonts w:cs="Arial"/>
        </w:rPr>
        <w:t xml:space="preserve"> 2020</w:t>
      </w:r>
      <w:r w:rsidRPr="003D1A2E">
        <w:rPr>
          <w:rFonts w:cs="Arial"/>
        </w:rPr>
        <w:t>, 18 heures, pour les listes présentes au second tour.</w:t>
      </w:r>
      <w:r w:rsidR="003D1A2E" w:rsidRPr="003D1A2E">
        <w:rPr>
          <w:rFonts w:cs="Arial"/>
        </w:rPr>
        <w:t xml:space="preserve"> </w:t>
      </w:r>
    </w:p>
    <w:p w14:paraId="2E6C6357" w14:textId="77777777" w:rsidR="003D1A2E" w:rsidRPr="003D1A2E" w:rsidRDefault="003D1A2E" w:rsidP="003D1A2E">
      <w:pPr>
        <w:pStyle w:val="Paragraphedeliste"/>
        <w:ind w:left="360"/>
        <w:rPr>
          <w:rFonts w:cs="Arial"/>
        </w:rPr>
      </w:pPr>
    </w:p>
    <w:p w14:paraId="0F2BD4E7" w14:textId="77777777" w:rsidR="00FB6FEB" w:rsidRPr="00FB6FEB" w:rsidRDefault="00FB6FEB" w:rsidP="00494162">
      <w:pPr>
        <w:pStyle w:val="Paragraphedeliste"/>
        <w:numPr>
          <w:ilvl w:val="0"/>
          <w:numId w:val="3"/>
        </w:numPr>
        <w:rPr>
          <w:rFonts w:cs="Arial"/>
        </w:rPr>
      </w:pPr>
      <w:proofErr w:type="gramStart"/>
      <w:r w:rsidRPr="00FB6FEB">
        <w:rPr>
          <w:rFonts w:cs="Arial"/>
        </w:rPr>
        <w:t>pour</w:t>
      </w:r>
      <w:proofErr w:type="gramEnd"/>
      <w:r w:rsidRPr="00FB6FEB">
        <w:rPr>
          <w:rFonts w:cs="Arial"/>
        </w:rPr>
        <w:t xml:space="preserve"> tenir compte des frais déjà engagés en vue du scrutin prévu le 22 mars, ainsi que des frais induits par l’allongement de la durée de la campagne électorale de l’entre-deux tours (locations, intérêts d’emprunts, contrats de travail, etc.), le plafond des dépenses remboursables aux listes de candidats présentes au second tour sera multiplié par un coefficient pouvant aller jusqu’à 1,5</w:t>
      </w:r>
      <w:r w:rsidR="003D1A2E">
        <w:rPr>
          <w:rFonts w:cs="Arial"/>
        </w:rPr>
        <w:t xml:space="preserve"> qui sera </w:t>
      </w:r>
      <w:r w:rsidR="003D1A2E" w:rsidRPr="00FB6FEB">
        <w:rPr>
          <w:rFonts w:cs="Arial"/>
        </w:rPr>
        <w:t>fixé par décret</w:t>
      </w:r>
      <w:r w:rsidRPr="00FB6FEB">
        <w:rPr>
          <w:rFonts w:cs="Arial"/>
        </w:rPr>
        <w:t>.</w:t>
      </w:r>
    </w:p>
    <w:p w14:paraId="1F9362A9" w14:textId="77777777" w:rsidR="00FB6FEB" w:rsidRDefault="00FB6FEB" w:rsidP="00215C5C">
      <w:pPr>
        <w:rPr>
          <w:rFonts w:cs="Arial"/>
        </w:rPr>
      </w:pPr>
    </w:p>
    <w:p w14:paraId="743C9E78" w14:textId="77777777" w:rsidR="00FB6FEB" w:rsidRDefault="00FB6FEB" w:rsidP="00215C5C">
      <w:pPr>
        <w:rPr>
          <w:rFonts w:cs="Arial"/>
        </w:rPr>
      </w:pPr>
      <w:r>
        <w:rPr>
          <w:rFonts w:cs="Arial"/>
        </w:rPr>
        <w:t>C</w:t>
      </w:r>
      <w:r w:rsidRPr="00FB6FEB">
        <w:rPr>
          <w:rFonts w:cs="Arial"/>
        </w:rPr>
        <w:t>es dispositions sont applicables sur tout le territoire de la République.</w:t>
      </w:r>
    </w:p>
    <w:p w14:paraId="549860D2" w14:textId="77777777" w:rsidR="00FB6FEB" w:rsidRDefault="00FB6FEB" w:rsidP="00215C5C">
      <w:pPr>
        <w:rPr>
          <w:rFonts w:cs="Arial"/>
        </w:rPr>
      </w:pPr>
    </w:p>
    <w:p w14:paraId="74C7429C" w14:textId="77777777" w:rsidR="00494162" w:rsidRDefault="00494162">
      <w:pPr>
        <w:spacing w:after="160" w:line="259" w:lineRule="auto"/>
        <w:jc w:val="left"/>
        <w:rPr>
          <w:rFonts w:cs="Arial"/>
        </w:rPr>
      </w:pPr>
      <w:r>
        <w:rPr>
          <w:rFonts w:cs="Arial"/>
        </w:rPr>
        <w:br w:type="page"/>
      </w:r>
    </w:p>
    <w:p w14:paraId="1B535136" w14:textId="77777777" w:rsidR="00494162" w:rsidRPr="00FB6FEB" w:rsidRDefault="00494162" w:rsidP="00215C5C">
      <w:pPr>
        <w:rPr>
          <w:rFonts w:cs="Arial"/>
        </w:rPr>
      </w:pPr>
    </w:p>
    <w:p w14:paraId="665F45E1" w14:textId="77777777" w:rsidR="00985E28" w:rsidRDefault="00985E28" w:rsidP="00985E28">
      <w:pPr>
        <w:pBdr>
          <w:top w:val="single" w:sz="4" w:space="1" w:color="auto"/>
          <w:left w:val="single" w:sz="4" w:space="4" w:color="auto"/>
          <w:bottom w:val="single" w:sz="4" w:space="1" w:color="auto"/>
          <w:right w:val="single" w:sz="4" w:space="4" w:color="auto"/>
        </w:pBdr>
        <w:rPr>
          <w:rFonts w:cs="Arial"/>
          <w:b/>
          <w:u w:val="single"/>
        </w:rPr>
      </w:pPr>
      <w:r>
        <w:rPr>
          <w:rFonts w:cs="Arial"/>
          <w:b/>
          <w:u w:val="single"/>
        </w:rPr>
        <w:t>En attente</w:t>
      </w:r>
    </w:p>
    <w:p w14:paraId="7008AA98" w14:textId="77777777" w:rsidR="00985E28" w:rsidRDefault="00985E28" w:rsidP="00985E28">
      <w:pPr>
        <w:pBdr>
          <w:top w:val="single" w:sz="4" w:space="1" w:color="auto"/>
          <w:left w:val="single" w:sz="4" w:space="4" w:color="auto"/>
          <w:bottom w:val="single" w:sz="4" w:space="1" w:color="auto"/>
          <w:right w:val="single" w:sz="4" w:space="4" w:color="auto"/>
        </w:pBdr>
        <w:rPr>
          <w:rFonts w:cs="Arial"/>
          <w:b/>
          <w:u w:val="single"/>
        </w:rPr>
      </w:pPr>
    </w:p>
    <w:p w14:paraId="17856B9A" w14:textId="77777777" w:rsidR="00985E28" w:rsidRDefault="00494162" w:rsidP="00494162">
      <w:pPr>
        <w:pBdr>
          <w:top w:val="single" w:sz="4" w:space="1" w:color="auto"/>
          <w:left w:val="single" w:sz="4" w:space="4" w:color="auto"/>
          <w:bottom w:val="single" w:sz="4" w:space="1" w:color="auto"/>
          <w:right w:val="single" w:sz="4" w:space="4" w:color="auto"/>
        </w:pBdr>
        <w:ind w:left="284" w:hanging="284"/>
        <w:rPr>
          <w:rFonts w:cs="Arial"/>
        </w:rPr>
      </w:pPr>
      <w:r>
        <w:rPr>
          <w:rFonts w:cs="Arial"/>
        </w:rPr>
        <w:t>-</w:t>
      </w:r>
      <w:r>
        <w:rPr>
          <w:rFonts w:cs="Arial"/>
        </w:rPr>
        <w:tab/>
      </w:r>
      <w:r w:rsidR="00985E28">
        <w:rPr>
          <w:rFonts w:cs="Arial"/>
        </w:rPr>
        <w:t xml:space="preserve">décret précisant le coefficient multiplicateur du </w:t>
      </w:r>
      <w:r w:rsidR="00FB6FEB" w:rsidRPr="00FB6FEB">
        <w:rPr>
          <w:rFonts w:cs="Arial"/>
        </w:rPr>
        <w:t>plafond des dépenses remboursables aux listes de can</w:t>
      </w:r>
      <w:r>
        <w:rPr>
          <w:rFonts w:cs="Arial"/>
        </w:rPr>
        <w:t>didats présentes au second tour</w:t>
      </w:r>
      <w:r w:rsidR="00DA5EC4">
        <w:rPr>
          <w:rFonts w:cs="Arial"/>
        </w:rPr>
        <w:t xml:space="preserve"> (pour les communes de 9 000 habitants et plus)</w:t>
      </w:r>
    </w:p>
    <w:p w14:paraId="747DB973" w14:textId="77777777" w:rsidR="00960DD9" w:rsidRDefault="00960DD9" w:rsidP="00494162">
      <w:pPr>
        <w:pBdr>
          <w:top w:val="single" w:sz="4" w:space="1" w:color="auto"/>
          <w:left w:val="single" w:sz="4" w:space="4" w:color="auto"/>
          <w:bottom w:val="single" w:sz="4" w:space="1" w:color="auto"/>
          <w:right w:val="single" w:sz="4" w:space="4" w:color="auto"/>
        </w:pBdr>
        <w:ind w:left="284" w:hanging="284"/>
        <w:rPr>
          <w:rFonts w:cs="Arial"/>
        </w:rPr>
      </w:pPr>
    </w:p>
    <w:p w14:paraId="16406E0F" w14:textId="77777777" w:rsidR="00FB6FEB" w:rsidRPr="00FB6FEB" w:rsidRDefault="00494162" w:rsidP="00494162">
      <w:pPr>
        <w:pBdr>
          <w:top w:val="single" w:sz="4" w:space="1" w:color="auto"/>
          <w:left w:val="single" w:sz="4" w:space="4" w:color="auto"/>
          <w:bottom w:val="single" w:sz="4" w:space="1" w:color="auto"/>
          <w:right w:val="single" w:sz="4" w:space="4" w:color="auto"/>
        </w:pBdr>
        <w:ind w:left="284" w:hanging="284"/>
        <w:rPr>
          <w:rFonts w:cs="Arial"/>
        </w:rPr>
      </w:pPr>
      <w:r>
        <w:rPr>
          <w:rFonts w:cs="Arial"/>
        </w:rPr>
        <w:t>-</w:t>
      </w:r>
      <w:r>
        <w:rPr>
          <w:rFonts w:cs="Arial"/>
        </w:rPr>
        <w:tab/>
      </w:r>
      <w:r w:rsidR="00985E28">
        <w:rPr>
          <w:rFonts w:cs="Arial"/>
        </w:rPr>
        <w:t xml:space="preserve">décret en Conseil d’Etat précisant les conditions de remboursement des </w:t>
      </w:r>
      <w:r w:rsidR="00FB6FEB" w:rsidRPr="00FB6FEB">
        <w:rPr>
          <w:rFonts w:cs="Arial"/>
        </w:rPr>
        <w:t>liste</w:t>
      </w:r>
      <w:r w:rsidR="00985E28">
        <w:rPr>
          <w:rFonts w:cs="Arial"/>
        </w:rPr>
        <w:t>s se présentant au second tour</w:t>
      </w:r>
      <w:r w:rsidR="00DA5EC4">
        <w:rPr>
          <w:rFonts w:cs="Arial"/>
        </w:rPr>
        <w:t xml:space="preserve"> (pour les communes de </w:t>
      </w:r>
      <w:r w:rsidR="00960DD9">
        <w:rPr>
          <w:rFonts w:cs="Arial"/>
        </w:rPr>
        <w:t>1 000 habitants et plus et</w:t>
      </w:r>
      <w:r w:rsidR="00960DD9" w:rsidRPr="00960DD9">
        <w:t xml:space="preserve"> </w:t>
      </w:r>
      <w:r w:rsidR="00960DD9" w:rsidRPr="00960DD9">
        <w:rPr>
          <w:rFonts w:cs="Arial"/>
        </w:rPr>
        <w:t>les circonscriptions de la métropole de Lyon</w:t>
      </w:r>
      <w:r w:rsidR="00960DD9">
        <w:rPr>
          <w:rFonts w:cs="Arial"/>
        </w:rPr>
        <w:t>)</w:t>
      </w:r>
    </w:p>
    <w:p w14:paraId="40CB03E6" w14:textId="77777777" w:rsidR="00FB6FEB" w:rsidRDefault="00FB6FEB" w:rsidP="00FB6FEB">
      <w:pPr>
        <w:rPr>
          <w:rFonts w:cs="Arial"/>
          <w:b/>
          <w:u w:val="single"/>
        </w:rPr>
      </w:pPr>
    </w:p>
    <w:p w14:paraId="47616F36" w14:textId="77777777" w:rsidR="00494162" w:rsidRPr="00FB6FEB" w:rsidRDefault="00494162" w:rsidP="00FB6FEB">
      <w:pPr>
        <w:rPr>
          <w:rFonts w:cs="Arial"/>
          <w:b/>
          <w:u w:val="single"/>
        </w:rPr>
      </w:pPr>
    </w:p>
    <w:p w14:paraId="7FF45097" w14:textId="77777777" w:rsidR="00ED303F" w:rsidRPr="00960DD9" w:rsidRDefault="00FB6FEB">
      <w:pPr>
        <w:rPr>
          <w:rFonts w:cs="Arial"/>
          <w:i/>
        </w:rPr>
      </w:pPr>
      <w:r w:rsidRPr="00960DD9">
        <w:rPr>
          <w:rFonts w:cs="Arial"/>
          <w:i/>
        </w:rPr>
        <w:t>Références</w:t>
      </w:r>
      <w:r w:rsidR="00023182" w:rsidRPr="00960DD9">
        <w:rPr>
          <w:rFonts w:cs="Arial"/>
          <w:i/>
        </w:rPr>
        <w:t> :</w:t>
      </w:r>
    </w:p>
    <w:p w14:paraId="5AC4B939" w14:textId="77777777" w:rsidR="00FB6FEB" w:rsidRPr="00960DD9" w:rsidRDefault="00863490" w:rsidP="00FB6FEB">
      <w:pPr>
        <w:pStyle w:val="Paragraphedeliste"/>
        <w:numPr>
          <w:ilvl w:val="0"/>
          <w:numId w:val="1"/>
        </w:numPr>
        <w:rPr>
          <w:rFonts w:cs="Arial"/>
          <w:i/>
        </w:rPr>
      </w:pPr>
      <w:proofErr w:type="gramStart"/>
      <w:r w:rsidRPr="00960DD9">
        <w:rPr>
          <w:rFonts w:cs="Arial"/>
          <w:i/>
        </w:rPr>
        <w:t>l</w:t>
      </w:r>
      <w:r w:rsidR="00FB6FEB" w:rsidRPr="00960DD9">
        <w:rPr>
          <w:rFonts w:cs="Arial"/>
          <w:i/>
        </w:rPr>
        <w:t>oi</w:t>
      </w:r>
      <w:proofErr w:type="gramEnd"/>
      <w:r w:rsidR="00FB6FEB" w:rsidRPr="00960DD9">
        <w:rPr>
          <w:rFonts w:cs="Arial"/>
          <w:i/>
        </w:rPr>
        <w:t xml:space="preserve"> n°2020-290 du 23 mars 2020 d’urgence pour faire face à l’épidémie de covid-19 (article 19 XII 3°, 4°, 6°, 7°</w:t>
      </w:r>
      <w:r w:rsidRPr="00960DD9">
        <w:rPr>
          <w:rFonts w:cs="Arial"/>
          <w:i/>
        </w:rPr>
        <w:t>et XVIII)</w:t>
      </w:r>
    </w:p>
    <w:p w14:paraId="4802B006" w14:textId="77777777" w:rsidR="00494162" w:rsidRPr="00091955" w:rsidRDefault="00215C5C" w:rsidP="00400E5D">
      <w:pPr>
        <w:pStyle w:val="Paragraphedeliste"/>
        <w:numPr>
          <w:ilvl w:val="0"/>
          <w:numId w:val="1"/>
        </w:numPr>
        <w:rPr>
          <w:rFonts w:cs="Arial"/>
          <w:i/>
        </w:rPr>
      </w:pPr>
      <w:r w:rsidRPr="00960DD9">
        <w:rPr>
          <w:rFonts w:cs="Arial"/>
          <w:i/>
        </w:rPr>
        <w:t>i</w:t>
      </w:r>
      <w:r w:rsidR="00863490" w:rsidRPr="00960DD9">
        <w:rPr>
          <w:rFonts w:cs="Arial"/>
          <w:i/>
        </w:rPr>
        <w:t>nstruction du 27 mars 2020 du ministre de l’intérieur aux maires (accessible sur le site de l’AMF</w:t>
      </w:r>
      <w:r w:rsidR="00091955">
        <w:rPr>
          <w:rFonts w:cs="Arial"/>
          <w:i/>
        </w:rPr>
        <w:t xml:space="preserve"> </w:t>
      </w:r>
      <w:r w:rsidR="00E64DCA">
        <w:rPr>
          <w:rFonts w:cs="Arial"/>
          <w:i/>
        </w:rPr>
        <w:t>(</w:t>
      </w:r>
      <w:hyperlink r:id="rId7" w:history="1">
        <w:r w:rsidR="00E64DCA" w:rsidRPr="005C5F19">
          <w:rPr>
            <w:rStyle w:val="Lienhypertexte"/>
            <w:rFonts w:cs="Arial"/>
            <w:i/>
          </w:rPr>
          <w:t>www.amf.asso.fr</w:t>
        </w:r>
      </w:hyperlink>
      <w:r w:rsidR="00E64DCA">
        <w:rPr>
          <w:rFonts w:cs="Arial"/>
          <w:i/>
        </w:rPr>
        <w:t xml:space="preserve">) </w:t>
      </w:r>
      <w:r w:rsidR="00091955">
        <w:rPr>
          <w:rFonts w:cs="Arial"/>
          <w:i/>
        </w:rPr>
        <w:t>depuis le 30 mars 2020, r</w:t>
      </w:r>
      <w:r w:rsidR="00091955" w:rsidRPr="00091955">
        <w:rPr>
          <w:rFonts w:cs="Arial"/>
          <w:i/>
        </w:rPr>
        <w:t>ubrique « Elections municipales 2020 », sous-rubrique « Règles de la période préélectorale »</w:t>
      </w:r>
    </w:p>
    <w:p w14:paraId="2A27BABC" w14:textId="77777777" w:rsidR="00863490" w:rsidRPr="00960DD9" w:rsidRDefault="00215C5C" w:rsidP="00863490">
      <w:pPr>
        <w:pStyle w:val="Paragraphedeliste"/>
        <w:numPr>
          <w:ilvl w:val="0"/>
          <w:numId w:val="1"/>
        </w:numPr>
        <w:rPr>
          <w:rFonts w:cs="Arial"/>
          <w:i/>
        </w:rPr>
      </w:pPr>
      <w:proofErr w:type="gramStart"/>
      <w:r w:rsidRPr="00960DD9">
        <w:rPr>
          <w:rFonts w:cs="Arial"/>
          <w:i/>
        </w:rPr>
        <w:t>o</w:t>
      </w:r>
      <w:r w:rsidR="00863490" w:rsidRPr="00960DD9">
        <w:rPr>
          <w:rFonts w:cs="Arial"/>
          <w:i/>
        </w:rPr>
        <w:t>rdonnance</w:t>
      </w:r>
      <w:proofErr w:type="gramEnd"/>
      <w:r w:rsidR="00863490" w:rsidRPr="00960DD9">
        <w:rPr>
          <w:rFonts w:cs="Arial"/>
          <w:i/>
        </w:rPr>
        <w:t xml:space="preserve"> n° 2020-390 du 1</w:t>
      </w:r>
      <w:r w:rsidR="00863490" w:rsidRPr="00960DD9">
        <w:rPr>
          <w:rFonts w:cs="Arial"/>
          <w:i/>
          <w:vertAlign w:val="superscript"/>
        </w:rPr>
        <w:t>er</w:t>
      </w:r>
      <w:r w:rsidR="00494162" w:rsidRPr="00960DD9">
        <w:rPr>
          <w:rFonts w:cs="Arial"/>
          <w:i/>
        </w:rPr>
        <w:t xml:space="preserve"> </w:t>
      </w:r>
      <w:r w:rsidR="00863490" w:rsidRPr="00960DD9">
        <w:rPr>
          <w:rFonts w:cs="Arial"/>
          <w:i/>
        </w:rPr>
        <w:t>avril 2020 relative au report du second tour (article 4)</w:t>
      </w:r>
    </w:p>
    <w:p w14:paraId="51338EFE" w14:textId="77777777" w:rsidR="00863490" w:rsidRPr="00FB6FEB" w:rsidRDefault="00863490" w:rsidP="00863490">
      <w:pPr>
        <w:pStyle w:val="Paragraphedeliste"/>
        <w:rPr>
          <w:rFonts w:cs="Arial"/>
        </w:rPr>
      </w:pPr>
    </w:p>
    <w:sectPr w:rsidR="00863490" w:rsidRPr="00FB6FEB" w:rsidSect="00346250">
      <w:footerReference w:type="default" r:id="rId8"/>
      <w:headerReference w:type="first" r:id="rId9"/>
      <w:footerReference w:type="first" r:id="rId10"/>
      <w:pgSz w:w="11906" w:h="16838" w:code="9"/>
      <w:pgMar w:top="1134"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E8AA" w14:textId="77777777" w:rsidR="00610F65" w:rsidRDefault="00610F65" w:rsidP="00023182">
      <w:r>
        <w:separator/>
      </w:r>
    </w:p>
  </w:endnote>
  <w:endnote w:type="continuationSeparator" w:id="0">
    <w:p w14:paraId="36C5D52F" w14:textId="77777777" w:rsidR="00610F65" w:rsidRDefault="00610F65" w:rsidP="0002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F3C4" w14:textId="77777777" w:rsidR="00B44870" w:rsidRPr="000023AA" w:rsidRDefault="00B44870" w:rsidP="00023182">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E64DCA">
      <w:rPr>
        <w:rFonts w:cs="Arial"/>
        <w:noProof/>
        <w:sz w:val="16"/>
        <w:szCs w:val="16"/>
      </w:rPr>
      <w:t>2</w:t>
    </w:r>
    <w:r w:rsidRPr="000023AA">
      <w:rPr>
        <w:rFonts w:cs="Arial"/>
        <w:sz w:val="16"/>
        <w:szCs w:val="16"/>
      </w:rPr>
      <w:fldChar w:fldCharType="end"/>
    </w:r>
  </w:p>
  <w:p w14:paraId="4F857F71" w14:textId="77777777" w:rsidR="00B44870" w:rsidRPr="000023AA" w:rsidRDefault="00B44870" w:rsidP="00023182">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14:paraId="4F76F8B4" w14:textId="77777777" w:rsidR="00B44870" w:rsidRPr="000023AA" w:rsidRDefault="00B44870" w:rsidP="00023182">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7815" w14:textId="77777777" w:rsidR="00B44870" w:rsidRPr="000023AA" w:rsidRDefault="00B44870" w:rsidP="00023182">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400E5D">
      <w:rPr>
        <w:rFonts w:cs="Arial"/>
        <w:noProof/>
        <w:sz w:val="16"/>
        <w:szCs w:val="16"/>
      </w:rPr>
      <w:t>1</w:t>
    </w:r>
    <w:r w:rsidRPr="000023AA">
      <w:rPr>
        <w:rFonts w:cs="Arial"/>
        <w:sz w:val="16"/>
        <w:szCs w:val="16"/>
      </w:rPr>
      <w:fldChar w:fldCharType="end"/>
    </w:r>
  </w:p>
  <w:p w14:paraId="0269ABED" w14:textId="77777777" w:rsidR="00B44870" w:rsidRPr="000023AA" w:rsidRDefault="00B44870" w:rsidP="00023182">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14:paraId="2AF564F6" w14:textId="77777777" w:rsidR="00B44870" w:rsidRPr="000023AA" w:rsidRDefault="00B44870" w:rsidP="00023182">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BDFF" w14:textId="77777777" w:rsidR="00610F65" w:rsidRDefault="00610F65" w:rsidP="00023182">
      <w:r>
        <w:separator/>
      </w:r>
    </w:p>
  </w:footnote>
  <w:footnote w:type="continuationSeparator" w:id="0">
    <w:p w14:paraId="7A3FFC1B" w14:textId="77777777" w:rsidR="00610F65" w:rsidRDefault="00610F65" w:rsidP="0002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D232" w14:textId="77777777" w:rsidR="00B44870" w:rsidRPr="00B75809" w:rsidRDefault="00B44870" w:rsidP="00023182">
    <w:pPr>
      <w:jc w:val="center"/>
      <w:rPr>
        <w:rFonts w:cs="Arial"/>
        <w:sz w:val="20"/>
        <w:szCs w:val="36"/>
      </w:rPr>
    </w:pPr>
    <w:r w:rsidRPr="00B75809">
      <w:rPr>
        <w:rFonts w:cs="Arial"/>
        <w:noProof/>
        <w:lang w:eastAsia="fr-FR"/>
      </w:rPr>
      <w:drawing>
        <wp:inline distT="0" distB="0" distL="0" distR="0" wp14:anchorId="147263B4" wp14:editId="0367A4FF">
          <wp:extent cx="1752600" cy="9271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27100"/>
                  </a:xfrm>
                  <a:prstGeom prst="rect">
                    <a:avLst/>
                  </a:prstGeom>
                </pic:spPr>
              </pic:pic>
            </a:graphicData>
          </a:graphic>
        </wp:inline>
      </w:drawing>
    </w:r>
  </w:p>
  <w:p w14:paraId="1CAF89BB" w14:textId="77777777" w:rsidR="00B44870" w:rsidRPr="00B75809" w:rsidRDefault="00B44870" w:rsidP="00023182">
    <w:pPr>
      <w:jc w:val="center"/>
      <w:rPr>
        <w:rFonts w:cs="Arial"/>
        <w:sz w:val="20"/>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5AA"/>
    <w:multiLevelType w:val="hybridMultilevel"/>
    <w:tmpl w:val="447A7AC6"/>
    <w:lvl w:ilvl="0" w:tplc="406C01F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073809"/>
    <w:multiLevelType w:val="hybridMultilevel"/>
    <w:tmpl w:val="DB501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5385C"/>
    <w:multiLevelType w:val="hybridMultilevel"/>
    <w:tmpl w:val="8B1E77D2"/>
    <w:lvl w:ilvl="0" w:tplc="F9447114">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EB"/>
    <w:rsid w:val="00023182"/>
    <w:rsid w:val="000813E9"/>
    <w:rsid w:val="00091955"/>
    <w:rsid w:val="00215C5C"/>
    <w:rsid w:val="002D13B2"/>
    <w:rsid w:val="00346250"/>
    <w:rsid w:val="003D1A2E"/>
    <w:rsid w:val="00400E5D"/>
    <w:rsid w:val="00494162"/>
    <w:rsid w:val="00610F65"/>
    <w:rsid w:val="006863AD"/>
    <w:rsid w:val="007B5C41"/>
    <w:rsid w:val="00863490"/>
    <w:rsid w:val="00960DD9"/>
    <w:rsid w:val="00985E28"/>
    <w:rsid w:val="00B44870"/>
    <w:rsid w:val="00C53DEC"/>
    <w:rsid w:val="00DA5EC4"/>
    <w:rsid w:val="00E64DCA"/>
    <w:rsid w:val="00ED303F"/>
    <w:rsid w:val="00FB6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508B"/>
  <w15:chartTrackingRefBased/>
  <w15:docId w15:val="{A23BAFE0-CD1E-4311-B9A9-85F1FD12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82"/>
    <w:pPr>
      <w:spacing w:after="0" w:line="240"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6FEB"/>
    <w:rPr>
      <w:color w:val="0563C1" w:themeColor="hyperlink"/>
      <w:u w:val="single"/>
    </w:rPr>
  </w:style>
  <w:style w:type="paragraph" w:styleId="Paragraphedeliste">
    <w:name w:val="List Paragraph"/>
    <w:basedOn w:val="Normal"/>
    <w:uiPriority w:val="34"/>
    <w:qFormat/>
    <w:rsid w:val="00FB6FEB"/>
    <w:pPr>
      <w:ind w:left="720"/>
    </w:pPr>
  </w:style>
  <w:style w:type="paragraph" w:styleId="En-tte">
    <w:name w:val="header"/>
    <w:basedOn w:val="Normal"/>
    <w:link w:val="En-tteCar"/>
    <w:uiPriority w:val="99"/>
    <w:unhideWhenUsed/>
    <w:rsid w:val="00023182"/>
    <w:pPr>
      <w:tabs>
        <w:tab w:val="center" w:pos="4536"/>
        <w:tab w:val="right" w:pos="9072"/>
      </w:tabs>
    </w:pPr>
  </w:style>
  <w:style w:type="character" w:customStyle="1" w:styleId="En-tteCar">
    <w:name w:val="En-tête Car"/>
    <w:basedOn w:val="Policepardfaut"/>
    <w:link w:val="En-tte"/>
    <w:uiPriority w:val="99"/>
    <w:rsid w:val="00023182"/>
  </w:style>
  <w:style w:type="paragraph" w:styleId="Pieddepage">
    <w:name w:val="footer"/>
    <w:basedOn w:val="Normal"/>
    <w:link w:val="PieddepageCar"/>
    <w:uiPriority w:val="99"/>
    <w:unhideWhenUsed/>
    <w:rsid w:val="00023182"/>
    <w:pPr>
      <w:tabs>
        <w:tab w:val="center" w:pos="4536"/>
        <w:tab w:val="right" w:pos="9072"/>
      </w:tabs>
    </w:pPr>
  </w:style>
  <w:style w:type="character" w:customStyle="1" w:styleId="PieddepageCar">
    <w:name w:val="Pied de page Car"/>
    <w:basedOn w:val="Policepardfaut"/>
    <w:link w:val="Pieddepage"/>
    <w:uiPriority w:val="99"/>
    <w:rsid w:val="00023182"/>
  </w:style>
  <w:style w:type="character" w:styleId="Lienhypertextesuivivisit">
    <w:name w:val="FollowedHyperlink"/>
    <w:basedOn w:val="Policepardfaut"/>
    <w:uiPriority w:val="99"/>
    <w:semiHidden/>
    <w:unhideWhenUsed/>
    <w:rsid w:val="00B44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f.ass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MWENDO Judith</dc:creator>
  <cp:keywords/>
  <dc:description/>
  <cp:lastModifiedBy>Sophie PEUQUET</cp:lastModifiedBy>
  <cp:revision>2</cp:revision>
  <dcterms:created xsi:type="dcterms:W3CDTF">2020-05-07T14:47:00Z</dcterms:created>
  <dcterms:modified xsi:type="dcterms:W3CDTF">2020-05-07T14:47:00Z</dcterms:modified>
</cp:coreProperties>
</file>